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57" w:line="240" w:lineRule="auto"/>
        <w:ind w:left="2070" w:right="231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31f20"/>
          <w:sz w:val="28"/>
          <w:szCs w:val="28"/>
          <w:rtl w:val="0"/>
        </w:rPr>
        <w:t xml:space="preserve">DHBI – D</w:t>
      </w:r>
      <w:r w:rsidDel="00000000" w:rsidR="00000000" w:rsidRPr="00000000">
        <w:rPr>
          <w:rFonts w:ascii="Times New Roman" w:cs="Times New Roman" w:eastAsia="Times New Roman" w:hAnsi="Times New Roman"/>
          <w:b w:val="1"/>
          <w:color w:val="231f20"/>
          <w:rtl w:val="0"/>
        </w:rPr>
        <w:t xml:space="preserve">EAF AND </w:t>
      </w:r>
      <w:r w:rsidDel="00000000" w:rsidR="00000000" w:rsidRPr="00000000">
        <w:rPr>
          <w:rFonts w:ascii="Times New Roman" w:cs="Times New Roman" w:eastAsia="Times New Roman" w:hAnsi="Times New Roman"/>
          <w:b w:val="1"/>
          <w:color w:val="231f20"/>
          <w:sz w:val="28"/>
          <w:szCs w:val="28"/>
          <w:rtl w:val="0"/>
        </w:rPr>
        <w:t xml:space="preserve">H</w:t>
      </w:r>
      <w:r w:rsidDel="00000000" w:rsidR="00000000" w:rsidRPr="00000000">
        <w:rPr>
          <w:rFonts w:ascii="Times New Roman" w:cs="Times New Roman" w:eastAsia="Times New Roman" w:hAnsi="Times New Roman"/>
          <w:b w:val="1"/>
          <w:color w:val="231f20"/>
          <w:rtl w:val="0"/>
        </w:rPr>
        <w:t xml:space="preserve">ARD OF </w:t>
      </w:r>
      <w:r w:rsidDel="00000000" w:rsidR="00000000" w:rsidRPr="00000000">
        <w:rPr>
          <w:rFonts w:ascii="Times New Roman" w:cs="Times New Roman" w:eastAsia="Times New Roman" w:hAnsi="Times New Roman"/>
          <w:b w:val="1"/>
          <w:color w:val="231f20"/>
          <w:sz w:val="28"/>
          <w:szCs w:val="28"/>
          <w:rtl w:val="0"/>
        </w:rPr>
        <w:t xml:space="preserve">H</w:t>
      </w:r>
      <w:r w:rsidDel="00000000" w:rsidR="00000000" w:rsidRPr="00000000">
        <w:rPr>
          <w:rFonts w:ascii="Times New Roman" w:cs="Times New Roman" w:eastAsia="Times New Roman" w:hAnsi="Times New Roman"/>
          <w:b w:val="1"/>
          <w:color w:val="231f20"/>
          <w:rtl w:val="0"/>
        </w:rPr>
        <w:t xml:space="preserve">EARING</w:t>
      </w:r>
      <w:r w:rsidDel="00000000" w:rsidR="00000000" w:rsidRPr="00000000">
        <w:rPr>
          <w:rFonts w:ascii="Times New Roman" w:cs="Times New Roman" w:eastAsia="Times New Roman" w:hAnsi="Times New Roman"/>
          <w:b w:val="1"/>
          <w:color w:val="231f20"/>
          <w:sz w:val="28"/>
          <w:szCs w:val="28"/>
          <w:rtl w:val="0"/>
        </w:rPr>
        <w:t xml:space="preserve">/B</w:t>
      </w:r>
      <w:r w:rsidDel="00000000" w:rsidR="00000000" w:rsidRPr="00000000">
        <w:rPr>
          <w:rFonts w:ascii="Times New Roman" w:cs="Times New Roman" w:eastAsia="Times New Roman" w:hAnsi="Times New Roman"/>
          <w:b w:val="1"/>
          <w:color w:val="231f20"/>
          <w:rtl w:val="0"/>
        </w:rPr>
        <w:t xml:space="preserve">IOLOGY</w:t>
      </w:r>
      <w:r w:rsidDel="00000000" w:rsidR="00000000" w:rsidRPr="00000000">
        <w:rPr>
          <w:rtl w:val="0"/>
        </w:rPr>
      </w:r>
    </w:p>
    <w:p w:rsidR="00000000" w:rsidDel="00000000" w:rsidP="00000000" w:rsidRDefault="00000000" w:rsidRPr="00000000">
      <w:pPr>
        <w:pBdr/>
        <w:spacing w:after="0" w:line="322" w:lineRule="auto"/>
        <w:ind w:left="3017" w:right="3256" w:firstLine="0"/>
        <w:contextualSpacing w:val="0"/>
        <w:jc w:val="center"/>
        <w:rPr>
          <w:rFonts w:ascii="Times New Roman" w:cs="Times New Roman" w:eastAsia="Times New Roman" w:hAnsi="Times New Roman"/>
          <w:b w:val="1"/>
          <w:color w:val="231f20"/>
        </w:rPr>
      </w:pPr>
      <w:r w:rsidDel="00000000" w:rsidR="00000000" w:rsidRPr="00000000">
        <w:rPr>
          <w:rFonts w:ascii="Times New Roman" w:cs="Times New Roman" w:eastAsia="Times New Roman" w:hAnsi="Times New Roman"/>
          <w:b w:val="1"/>
          <w:color w:val="231f20"/>
          <w:sz w:val="28"/>
          <w:szCs w:val="28"/>
          <w:rtl w:val="0"/>
        </w:rPr>
        <w:t xml:space="preserve">BS D</w:t>
      </w:r>
      <w:r w:rsidDel="00000000" w:rsidR="00000000" w:rsidRPr="00000000">
        <w:rPr>
          <w:rFonts w:ascii="Times New Roman" w:cs="Times New Roman" w:eastAsia="Times New Roman" w:hAnsi="Times New Roman"/>
          <w:b w:val="1"/>
          <w:color w:val="231f20"/>
          <w:rtl w:val="0"/>
        </w:rPr>
        <w:t xml:space="preserve">EGREE </w:t>
      </w:r>
      <w:r w:rsidDel="00000000" w:rsidR="00000000" w:rsidRPr="00000000">
        <w:rPr>
          <w:rFonts w:ascii="Times New Roman" w:cs="Times New Roman" w:eastAsia="Times New Roman" w:hAnsi="Times New Roman"/>
          <w:b w:val="1"/>
          <w:color w:val="231f20"/>
          <w:sz w:val="28"/>
          <w:szCs w:val="28"/>
          <w:rtl w:val="0"/>
        </w:rPr>
        <w:t xml:space="preserve">– 32 C</w:t>
      </w:r>
      <w:r w:rsidDel="00000000" w:rsidR="00000000" w:rsidRPr="00000000">
        <w:rPr>
          <w:rFonts w:ascii="Times New Roman" w:cs="Times New Roman" w:eastAsia="Times New Roman" w:hAnsi="Times New Roman"/>
          <w:b w:val="1"/>
          <w:color w:val="231f20"/>
          <w:rtl w:val="0"/>
        </w:rPr>
        <w:t xml:space="preserve">OURSE </w:t>
      </w:r>
      <w:r w:rsidDel="00000000" w:rsidR="00000000" w:rsidRPr="00000000">
        <w:rPr>
          <w:rFonts w:ascii="Times New Roman" w:cs="Times New Roman" w:eastAsia="Times New Roman" w:hAnsi="Times New Roman"/>
          <w:b w:val="1"/>
          <w:color w:val="231f20"/>
          <w:sz w:val="28"/>
          <w:szCs w:val="28"/>
          <w:rtl w:val="0"/>
        </w:rPr>
        <w:t xml:space="preserve">U</w:t>
      </w:r>
      <w:r w:rsidDel="00000000" w:rsidR="00000000" w:rsidRPr="00000000">
        <w:rPr>
          <w:rFonts w:ascii="Times New Roman" w:cs="Times New Roman" w:eastAsia="Times New Roman" w:hAnsi="Times New Roman"/>
          <w:b w:val="1"/>
          <w:color w:val="231f20"/>
          <w:rtl w:val="0"/>
        </w:rPr>
        <w:t xml:space="preserve">NITS</w:t>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b w:val="1"/>
          <w:color w:val="231f20"/>
        </w:rPr>
      </w:pPr>
      <w:r w:rsidDel="00000000" w:rsidR="00000000" w:rsidRPr="00000000">
        <w:rPr>
          <w:rFonts w:ascii="Times New Roman" w:cs="Times New Roman" w:eastAsia="Times New Roman" w:hAnsi="Times New Roman"/>
          <w:b w:val="1"/>
          <w:i w:val="1"/>
          <w:rtl w:val="0"/>
        </w:rPr>
        <w:t xml:space="preserve">This Document is for Advisement Purposes Only.  The Academic Requirement Report in PAWS is a Student’s Official Record of Requirements.</w:t>
      </w:r>
      <w:r w:rsidDel="00000000" w:rsidR="00000000" w:rsidRPr="00000000">
        <w:rPr>
          <w:rtl w:val="0"/>
        </w:rPr>
      </w:r>
    </w:p>
    <w:p w:rsidR="00000000" w:rsidDel="00000000" w:rsidP="00000000" w:rsidRDefault="00000000" w:rsidRPr="00000000">
      <w:pPr>
        <w:pBdr/>
        <w:spacing w:after="0" w:before="4" w:line="110" w:lineRule="auto"/>
        <w:contextualSpacing w:val="0"/>
        <w:rPr>
          <w:sz w:val="11"/>
          <w:szCs w:val="11"/>
        </w:rPr>
      </w:pPr>
      <w:r w:rsidDel="00000000" w:rsidR="00000000" w:rsidRPr="00000000">
        <w:rPr>
          <w:rtl w:val="0"/>
        </w:rPr>
      </w:r>
    </w:p>
    <w:p w:rsidR="00000000" w:rsidDel="00000000" w:rsidP="00000000" w:rsidRDefault="00000000" w:rsidRPr="00000000">
      <w:pPr>
        <w:pBdr/>
        <w:spacing w:after="0" w:line="240" w:lineRule="auto"/>
        <w:ind w:left="3229" w:right="3470" w:firstLine="0"/>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color w:val="3953a4"/>
          <w:sz w:val="24"/>
          <w:szCs w:val="24"/>
          <w:rtl w:val="0"/>
        </w:rPr>
        <w:t xml:space="preserve">M</w:t>
      </w:r>
      <w:r w:rsidDel="00000000" w:rsidR="00000000" w:rsidRPr="00000000">
        <w:rPr>
          <w:rFonts w:ascii="Times New Roman" w:cs="Times New Roman" w:eastAsia="Times New Roman" w:hAnsi="Times New Roman"/>
          <w:b w:val="1"/>
          <w:color w:val="3953a4"/>
          <w:sz w:val="19"/>
          <w:szCs w:val="19"/>
          <w:rtl w:val="0"/>
        </w:rPr>
        <w:t xml:space="preserve">AJOR </w:t>
      </w:r>
      <w:r w:rsidDel="00000000" w:rsidR="00000000" w:rsidRPr="00000000">
        <w:rPr>
          <w:rFonts w:ascii="Times New Roman" w:cs="Times New Roman" w:eastAsia="Times New Roman" w:hAnsi="Times New Roman"/>
          <w:b w:val="1"/>
          <w:color w:val="3953a4"/>
          <w:sz w:val="24"/>
          <w:szCs w:val="24"/>
          <w:rtl w:val="0"/>
        </w:rPr>
        <w:t xml:space="preserve">C</w:t>
      </w:r>
      <w:r w:rsidDel="00000000" w:rsidR="00000000" w:rsidRPr="00000000">
        <w:rPr>
          <w:rFonts w:ascii="Times New Roman" w:cs="Times New Roman" w:eastAsia="Times New Roman" w:hAnsi="Times New Roman"/>
          <w:b w:val="1"/>
          <w:color w:val="3953a4"/>
          <w:sz w:val="19"/>
          <w:szCs w:val="19"/>
          <w:rtl w:val="0"/>
        </w:rPr>
        <w:t xml:space="preserve">OURSE </w:t>
      </w:r>
      <w:r w:rsidDel="00000000" w:rsidR="00000000" w:rsidRPr="00000000">
        <w:rPr>
          <w:rFonts w:ascii="Times New Roman" w:cs="Times New Roman" w:eastAsia="Times New Roman" w:hAnsi="Times New Roman"/>
          <w:b w:val="1"/>
          <w:color w:val="3953a4"/>
          <w:sz w:val="24"/>
          <w:szCs w:val="24"/>
          <w:rtl w:val="0"/>
        </w:rPr>
        <w:t xml:space="preserve">R</w:t>
      </w:r>
      <w:r w:rsidDel="00000000" w:rsidR="00000000" w:rsidRPr="00000000">
        <w:rPr>
          <w:rFonts w:ascii="Times New Roman" w:cs="Times New Roman" w:eastAsia="Times New Roman" w:hAnsi="Times New Roman"/>
          <w:b w:val="1"/>
          <w:color w:val="3953a4"/>
          <w:sz w:val="19"/>
          <w:szCs w:val="19"/>
          <w:rtl w:val="0"/>
        </w:rPr>
        <w:t xml:space="preserve">EQUIREMENTS</w:t>
      </w:r>
      <w:r w:rsidDel="00000000" w:rsidR="00000000" w:rsidRPr="00000000">
        <w:rPr>
          <w:rtl w:val="0"/>
        </w:rPr>
      </w:r>
    </w:p>
    <w:p w:rsidR="00000000" w:rsidDel="00000000" w:rsidP="00000000" w:rsidRDefault="00000000" w:rsidRPr="00000000">
      <w:pPr>
        <w:pBdr/>
        <w:spacing w:after="0" w:line="235" w:lineRule="auto"/>
        <w:ind w:left="2165" w:right="2401" w:firstLine="0"/>
        <w:contextualSpacing w:val="0"/>
        <w:jc w:val="center"/>
        <w:rPr>
          <w:rFonts w:ascii="Times New Roman" w:cs="Times New Roman" w:eastAsia="Times New Roman" w:hAnsi="Times New Roman"/>
          <w:color w:val="231f20"/>
          <w:sz w:val="21"/>
          <w:szCs w:val="21"/>
          <w:vertAlign w:val="baseline"/>
        </w:rPr>
      </w:pPr>
      <w:r w:rsidDel="00000000" w:rsidR="00000000" w:rsidRPr="00000000">
        <w:rPr>
          <w:rFonts w:ascii="Times New Roman" w:cs="Times New Roman" w:eastAsia="Times New Roman" w:hAnsi="Times New Roman"/>
          <w:color w:val="231f20"/>
          <w:sz w:val="21"/>
          <w:szCs w:val="21"/>
          <w:vertAlign w:val="baseline"/>
          <w:rtl w:val="0"/>
        </w:rPr>
        <w:t xml:space="preserve">Fulfill via completion of course requirements in three categories.</w:t>
      </w:r>
    </w:p>
    <w:p w:rsidR="00000000" w:rsidDel="00000000" w:rsidP="00000000" w:rsidRDefault="00000000" w:rsidRPr="00000000">
      <w:pPr>
        <w:pBdr/>
        <w:spacing w:after="0" w:line="235" w:lineRule="auto"/>
        <w:ind w:left="2165" w:right="2401" w:firstLine="0"/>
        <w:contextualSpacing w:val="0"/>
        <w:jc w:val="center"/>
        <w:rPr>
          <w:rFonts w:ascii="Times New Roman" w:cs="Times New Roman" w:eastAsia="Times New Roman" w:hAnsi="Times New Roman"/>
          <w:b w:val="1"/>
          <w:color w:val="231f20"/>
          <w:sz w:val="21"/>
          <w:szCs w:val="21"/>
        </w:rPr>
      </w:pPr>
      <w:r w:rsidDel="00000000" w:rsidR="00000000" w:rsidRPr="00000000">
        <w:rPr>
          <w:rFonts w:ascii="Times New Roman" w:cs="Times New Roman" w:eastAsia="Times New Roman" w:hAnsi="Times New Roman"/>
          <w:b w:val="1"/>
          <w:color w:val="231f20"/>
          <w:sz w:val="21"/>
          <w:szCs w:val="21"/>
          <w:rtl w:val="0"/>
        </w:rPr>
        <w:t xml:space="preserve">Deaf Education/Biology majors should use the generic Deaf Education 5-year course sequence to help them plan a semester-by-semester program of study.</w:t>
      </w:r>
    </w:p>
    <w:p w:rsidR="00000000" w:rsidDel="00000000" w:rsidP="00000000" w:rsidRDefault="00000000" w:rsidRPr="00000000">
      <w:pPr>
        <w:pBdr/>
        <w:spacing w:after="0" w:before="6" w:line="120" w:lineRule="auto"/>
        <w:contextualSpacing w:val="0"/>
        <w:rPr>
          <w:sz w:val="12"/>
          <w:szCs w:val="12"/>
        </w:rPr>
      </w:pPr>
      <w:r w:rsidDel="00000000" w:rsidR="00000000" w:rsidRPr="00000000">
        <w:rPr>
          <w:rtl w:val="0"/>
        </w:rPr>
      </w:r>
    </w:p>
    <w:tbl>
      <w:tblPr>
        <w:tblStyle w:val="Table1"/>
        <w:bidiVisual w:val="0"/>
        <w:tblW w:w="9813.0" w:type="dxa"/>
        <w:jc w:val="left"/>
        <w:tblInd w:w="101.0" w:type="dxa"/>
        <w:tblLayout w:type="fixed"/>
        <w:tblLook w:val="0000"/>
      </w:tblPr>
      <w:tblGrid>
        <w:gridCol w:w="3954"/>
        <w:gridCol w:w="2906"/>
        <w:gridCol w:w="2953"/>
        <w:tblGridChange w:id="0">
          <w:tblGrid>
            <w:gridCol w:w="3954"/>
            <w:gridCol w:w="2906"/>
            <w:gridCol w:w="2953"/>
          </w:tblGrid>
        </w:tblGridChange>
      </w:tblGrid>
      <w:tr>
        <w:trPr>
          <w:trHeight w:val="420" w:hRule="atLeast"/>
        </w:trPr>
        <w:tc>
          <w:tcPr>
            <w:tcBorders>
              <w:top w:color="231f20" w:space="0" w:sz="4" w:val="single"/>
              <w:left w:color="231f20" w:space="0" w:sz="4" w:val="single"/>
              <w:bottom w:color="231f20" w:space="0" w:sz="4" w:val="single"/>
              <w:right w:color="231f20" w:space="0" w:sz="4" w:val="single"/>
            </w:tcBorders>
            <w:shd w:fill="e7e8e8"/>
          </w:tcPr>
          <w:p w:rsidR="00000000" w:rsidDel="00000000" w:rsidP="00000000" w:rsidRDefault="00000000" w:rsidRPr="00000000">
            <w:pPr>
              <w:pBdr/>
              <w:spacing w:after="0" w:line="206" w:lineRule="auto"/>
              <w:ind w:left="1552" w:right="1350"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Core Courses </w:t>
            </w:r>
            <w:r w:rsidDel="00000000" w:rsidR="00000000" w:rsidRPr="00000000">
              <w:rPr>
                <w:rFonts w:ascii="Times New Roman" w:cs="Times New Roman" w:eastAsia="Times New Roman" w:hAnsi="Times New Roman"/>
                <w:color w:val="231f20"/>
                <w:sz w:val="18"/>
                <w:szCs w:val="18"/>
                <w:rtl w:val="0"/>
              </w:rPr>
              <w:t xml:space="preserve">(12)</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shd w:fill="e7e8e8"/>
          </w:tcPr>
          <w:p w:rsidR="00000000" w:rsidDel="00000000" w:rsidP="00000000" w:rsidRDefault="00000000" w:rsidRPr="00000000">
            <w:pPr>
              <w:pBdr/>
              <w:spacing w:after="0" w:line="201" w:lineRule="auto"/>
              <w:ind w:left="213" w:right="190"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Specialization Courses </w:t>
            </w:r>
            <w:r w:rsidDel="00000000" w:rsidR="00000000" w:rsidRPr="00000000">
              <w:rPr>
                <w:rFonts w:ascii="Times New Roman" w:cs="Times New Roman" w:eastAsia="Times New Roman" w:hAnsi="Times New Roman"/>
                <w:color w:val="231f20"/>
                <w:sz w:val="18"/>
                <w:szCs w:val="18"/>
                <w:rtl w:val="0"/>
              </w:rPr>
              <w:t xml:space="preserve">(5)</w:t>
            </w:r>
            <w:r w:rsidDel="00000000" w:rsidR="00000000" w:rsidRPr="00000000">
              <w:rPr>
                <w:rtl w:val="0"/>
              </w:rPr>
            </w:r>
          </w:p>
          <w:p w:rsidR="00000000" w:rsidDel="00000000" w:rsidP="00000000" w:rsidRDefault="00000000" w:rsidRPr="00000000">
            <w:pPr>
              <w:pBdr/>
              <w:spacing w:after="0" w:line="206" w:lineRule="auto"/>
              <w:ind w:left="673" w:right="656"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and Options </w:t>
            </w:r>
            <w:r w:rsidDel="00000000" w:rsidR="00000000" w:rsidRPr="00000000">
              <w:rPr>
                <w:rFonts w:ascii="Times New Roman" w:cs="Times New Roman" w:eastAsia="Times New Roman" w:hAnsi="Times New Roman"/>
                <w:color w:val="231f20"/>
                <w:sz w:val="18"/>
                <w:szCs w:val="18"/>
                <w:rtl w:val="0"/>
              </w:rPr>
              <w:t xml:space="preserve">(4)</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shd w:fill="e7e8e8"/>
          </w:tcPr>
          <w:p w:rsidR="00000000" w:rsidDel="00000000" w:rsidP="00000000" w:rsidRDefault="00000000" w:rsidRPr="00000000">
            <w:pPr>
              <w:pBdr/>
              <w:spacing w:after="0" w:line="206" w:lineRule="auto"/>
              <w:ind w:left="731" w:right="717"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Correlate Courses</w:t>
            </w:r>
            <w:r w:rsidDel="00000000" w:rsidR="00000000" w:rsidRPr="00000000">
              <w:rPr>
                <w:rtl w:val="0"/>
              </w:rPr>
            </w:r>
          </w:p>
          <w:p w:rsidR="00000000" w:rsidDel="00000000" w:rsidP="00000000" w:rsidRDefault="00000000" w:rsidRPr="00000000">
            <w:pPr>
              <w:pBdr/>
              <w:spacing w:after="0" w:line="202" w:lineRule="auto"/>
              <w:ind w:left="1329" w:right="1314"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(6)</w:t>
            </w: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DHH 105 – Programs/Services for Individuals </w:t>
            </w:r>
          </w:p>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Who are Deaf /Hard of Hearing</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BIO 099 – Orientation to Biology </w:t>
            </w:r>
          </w:p>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(zero course units)</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4"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MAT127 – Calculus A</w:t>
            </w:r>
            <w:r w:rsidDel="00000000" w:rsidR="00000000" w:rsidRPr="00000000">
              <w:rPr>
                <w:rtl w:val="0"/>
              </w:rPr>
            </w:r>
          </w:p>
        </w:tc>
      </w:tr>
      <w:tr>
        <w:trPr>
          <w:trHeight w:val="104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DHH 303 – Language Development for Individuals</w:t>
            </w:r>
            <w:r w:rsidDel="00000000" w:rsidR="00000000" w:rsidRPr="00000000">
              <w:rPr>
                <w:rtl w:val="0"/>
              </w:rPr>
            </w:r>
          </w:p>
          <w:p w:rsidR="00000000" w:rsidDel="00000000" w:rsidP="00000000" w:rsidRDefault="00000000" w:rsidRPr="00000000">
            <w:pPr>
              <w:pBdr/>
              <w:spacing w:after="0" w:line="206" w:lineRule="auto"/>
              <w:ind w:left="28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Who Are Deaf/Hard of Hearing</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BIO 201 – Foundations of Biological </w:t>
            </w:r>
          </w:p>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Inquiry</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66" w:right="128"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MAT 105 – Mathematical Structures</w:t>
            </w:r>
            <w:r w:rsidDel="00000000" w:rsidR="00000000" w:rsidRPr="00000000">
              <w:rPr>
                <w:rtl w:val="0"/>
              </w:rPr>
            </w:r>
          </w:p>
          <w:p w:rsidR="00000000" w:rsidDel="00000000" w:rsidP="00000000" w:rsidRDefault="00000000" w:rsidRPr="00000000">
            <w:pPr>
              <w:pBdr/>
              <w:spacing w:after="0" w:line="206" w:lineRule="auto"/>
              <w:ind w:left="263"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and Algorithms for Educators I</w:t>
            </w:r>
            <w:r w:rsidDel="00000000" w:rsidR="00000000" w:rsidRPr="00000000">
              <w:rPr>
                <w:rtl w:val="0"/>
              </w:rPr>
            </w:r>
          </w:p>
          <w:p w:rsidR="00000000" w:rsidDel="00000000" w:rsidP="00000000" w:rsidRDefault="00000000" w:rsidRPr="00000000">
            <w:pPr>
              <w:pBdr/>
              <w:spacing w:after="0" w:before="2" w:line="240" w:lineRule="auto"/>
              <w:ind w:left="263"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u w:val="single"/>
                <w:rtl w:val="0"/>
              </w:rPr>
              <w:t xml:space="preserve">or</w:t>
            </w:r>
            <w:r w:rsidDel="00000000" w:rsidR="00000000" w:rsidRPr="00000000">
              <w:rPr>
                <w:rtl w:val="0"/>
              </w:rPr>
            </w:r>
          </w:p>
          <w:p w:rsidR="00000000" w:rsidDel="00000000" w:rsidP="00000000" w:rsidRDefault="00000000" w:rsidRPr="00000000">
            <w:pPr>
              <w:pBdr/>
              <w:spacing w:after="0" w:before="2" w:line="206" w:lineRule="auto"/>
              <w:ind w:left="263" w:right="85" w:hanging="118"/>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MAT 106 – Mathematical Structures  and Algorithms for Educators II</w:t>
            </w: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DHH 350 – Classroom Applications of Sign</w:t>
            </w:r>
            <w:r w:rsidDel="00000000" w:rsidR="00000000" w:rsidRPr="00000000">
              <w:rPr>
                <w:rtl w:val="0"/>
              </w:rPr>
            </w:r>
          </w:p>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Communication </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BIO 211 - Biology of the Eukaryotic </w:t>
            </w:r>
          </w:p>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Cell</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4"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CHE 201 - General Chemistry I</w:t>
            </w: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DHH 423 – Deaf Education Methods Across</w:t>
            </w:r>
            <w:r w:rsidDel="00000000" w:rsidR="00000000" w:rsidRPr="00000000">
              <w:rPr>
                <w:rtl w:val="0"/>
              </w:rPr>
            </w:r>
          </w:p>
          <w:p w:rsidR="00000000" w:rsidDel="00000000" w:rsidP="00000000" w:rsidRDefault="00000000" w:rsidRPr="00000000">
            <w:pPr>
              <w:pBdr/>
              <w:spacing w:after="0" w:line="206" w:lineRule="auto"/>
              <w:ind w:left="28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 Educational Settings</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BIO 221 - Ecology &amp; Field Biology</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CHE 202 - General Chemistry II</w:t>
            </w:r>
            <w:r w:rsidDel="00000000" w:rsidR="00000000" w:rsidRPr="00000000">
              <w:rPr>
                <w:rtl w:val="0"/>
              </w:rPr>
            </w:r>
          </w:p>
        </w:tc>
      </w:tr>
      <w:tr>
        <w:trPr>
          <w:trHeight w:val="20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MTT 202 – Teaching Math in EC/Elem/Mid School</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BIO 231 - Genetics</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CHE 331 - Organic Chemistry I</w:t>
            </w: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2"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MST 202 – Methods of Teaching Science, Health, </w:t>
            </w:r>
            <w:r w:rsidDel="00000000" w:rsidR="00000000" w:rsidRPr="00000000">
              <w:rPr>
                <w:rtl w:val="0"/>
              </w:rPr>
            </w:r>
          </w:p>
          <w:p w:rsidR="00000000" w:rsidDel="00000000" w:rsidP="00000000" w:rsidRDefault="00000000" w:rsidRPr="00000000">
            <w:pPr>
              <w:pBdr/>
              <w:spacing w:after="0" w:before="2" w:line="240" w:lineRule="auto"/>
              <w:ind w:left="28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And Technology</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BIO 498 – Biology Seminar </w:t>
            </w:r>
          </w:p>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w:t>
            </w:r>
            <w:r w:rsidDel="00000000" w:rsidR="00000000" w:rsidRPr="00000000">
              <w:rPr>
                <w:rFonts w:ascii="Times New Roman" w:cs="Times New Roman" w:eastAsia="Times New Roman" w:hAnsi="Times New Roman"/>
                <w:i w:val="1"/>
                <w:color w:val="231f20"/>
                <w:sz w:val="18"/>
                <w:szCs w:val="18"/>
                <w:rtl w:val="0"/>
              </w:rPr>
              <w:t xml:space="preserve">Capstone</w:t>
            </w:r>
            <w:r w:rsidDel="00000000" w:rsidR="00000000" w:rsidRPr="00000000">
              <w:rPr>
                <w:rFonts w:ascii="Times New Roman" w:cs="Times New Roman" w:eastAsia="Times New Roman" w:hAnsi="Times New Roman"/>
                <w:color w:val="231f20"/>
                <w:sz w:val="18"/>
                <w:szCs w:val="18"/>
                <w:rtl w:val="0"/>
              </w:rPr>
              <w:t xml:space="preserve">) </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PHY103 – Physical, Earth, and Space</w:t>
            </w:r>
            <w:r w:rsidDel="00000000" w:rsidR="00000000" w:rsidRPr="00000000">
              <w:rPr>
                <w:rtl w:val="0"/>
              </w:rPr>
            </w:r>
          </w:p>
          <w:p w:rsidR="00000000" w:rsidDel="00000000" w:rsidP="00000000" w:rsidRDefault="00000000" w:rsidRPr="00000000">
            <w:pPr>
              <w:pBdr/>
              <w:spacing w:after="0" w:before="2" w:line="240" w:lineRule="auto"/>
              <w:ind w:left="28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Science</w:t>
            </w: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RAL 220 – Lit Strat, Assess &amp; Instr </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Biology option course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2" w:lineRule="auto"/>
              <w:ind w:left="100" w:right="-20" w:firstLine="0"/>
              <w:contextualSpacing w:val="0"/>
              <w:rPr>
                <w:rFonts w:ascii="Times New Roman" w:cs="Times New Roman" w:eastAsia="Times New Roman" w:hAnsi="Times New Roman"/>
                <w:sz w:val="18"/>
                <w:szCs w:val="18"/>
              </w:rPr>
            </w:pPr>
            <w:r w:rsidDel="00000000" w:rsidR="00000000" w:rsidRPr="00000000">
              <w:rPr>
                <w:rtl w:val="0"/>
              </w:rPr>
            </w:r>
          </w:p>
        </w:tc>
      </w:tr>
      <w:tr>
        <w:tc>
          <w:tcPr>
            <w:tcBorders>
              <w:top w:color="231f20" w:space="0" w:sz="4" w:val="single"/>
              <w:left w:color="231f20" w:space="0" w:sz="4" w:val="single"/>
              <w:bottom w:color="231f20" w:space="0" w:sz="4" w:val="single"/>
              <w:right w:color="231f20" w:space="0" w:sz="4" w:val="single"/>
            </w:tcBorders>
            <w:tcMar>
              <w:left w:w="0.0" w:type="dxa"/>
              <w:right w:w="0.0" w:type="dxa"/>
            </w:tcMar>
          </w:tcPr>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18"/>
                <w:szCs w:val="18"/>
                <w:rtl w:val="0"/>
              </w:rPr>
              <w:t xml:space="preserve">RAL 320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20"/>
                <w:szCs w:val="20"/>
                <w:rtl w:val="0"/>
              </w:rPr>
              <w:t xml:space="preserve">Literacy Learning Across the Curriculum</w:t>
            </w:r>
            <w:r w:rsidDel="00000000" w:rsidR="00000000" w:rsidRPr="00000000">
              <w:rPr>
                <w:rtl w:val="0"/>
              </w:rPr>
            </w:r>
          </w:p>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tl w:val="0"/>
              </w:rPr>
            </w:r>
          </w:p>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 </w:t>
            </w:r>
          </w:p>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sz w:val="18"/>
                <w:szCs w:val="18"/>
              </w:rPr>
            </w:pP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Mar>
              <w:left w:w="0.0" w:type="dxa"/>
              <w:right w:w="0.0" w:type="dxa"/>
            </w:tcMar>
          </w:tcPr>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Biology option course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Mar>
              <w:left w:w="0.0" w:type="dxa"/>
              <w:right w:w="0.0" w:type="dxa"/>
            </w:tcMar>
          </w:tcPr>
          <w:p w:rsidR="00000000" w:rsidDel="00000000" w:rsidP="00000000" w:rsidRDefault="00000000" w:rsidRPr="00000000">
            <w:pPr>
              <w:pBdr/>
              <w:contextualSpacing w:val="0"/>
              <w:rPr/>
            </w:pP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RAL 225 – Children’s Literature</w:t>
            </w:r>
            <w:r w:rsidDel="00000000" w:rsidR="00000000" w:rsidRPr="00000000">
              <w:rPr>
                <w:rtl w:val="0"/>
              </w:rPr>
            </w:r>
          </w:p>
          <w:p w:rsidR="00000000" w:rsidDel="00000000" w:rsidP="00000000" w:rsidRDefault="00000000" w:rsidRPr="00000000">
            <w:pPr>
              <w:pBdr/>
              <w:spacing w:after="0" w:line="206" w:lineRule="auto"/>
              <w:ind w:left="28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u w:val="single"/>
                <w:rtl w:val="0"/>
              </w:rPr>
              <w:t xml:space="preserve">or</w:t>
            </w:r>
            <w:r w:rsidDel="00000000" w:rsidR="00000000" w:rsidRPr="00000000">
              <w:rPr>
                <w:rtl w:val="0"/>
              </w:rPr>
            </w:r>
          </w:p>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WGS 225 – Gender in Children’s Literature</w:t>
            </w:r>
          </w:p>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or</w:t>
            </w:r>
          </w:p>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 ECE 102  Early Childhood Literature</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Biology option course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58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4"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SLP 102 – Language, Speech and Communication</w:t>
            </w:r>
            <w:r w:rsidDel="00000000" w:rsidR="00000000" w:rsidRPr="00000000">
              <w:rPr>
                <w:rtl w:val="0"/>
              </w:rPr>
            </w:r>
          </w:p>
          <w:p w:rsidR="00000000" w:rsidDel="00000000" w:rsidP="00000000" w:rsidRDefault="00000000" w:rsidRPr="00000000">
            <w:pPr>
              <w:pBdr/>
              <w:spacing w:after="0" w:line="206" w:lineRule="auto"/>
              <w:ind w:left="28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 Development</w:t>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2"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Organisms and Evolution Biology </w:t>
            </w:r>
          </w:p>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color w:val="231f20"/>
                <w:sz w:val="18"/>
                <w:szCs w:val="18"/>
              </w:rPr>
            </w:pPr>
            <w:r w:rsidDel="00000000" w:rsidR="00000000" w:rsidRPr="00000000">
              <w:rPr>
                <w:rFonts w:ascii="Times New Roman" w:cs="Times New Roman" w:eastAsia="Times New Roman" w:hAnsi="Times New Roman"/>
                <w:color w:val="231f20"/>
                <w:sz w:val="18"/>
                <w:szCs w:val="18"/>
                <w:rtl w:val="0"/>
              </w:rPr>
              <w:t xml:space="preserve">     option course</w:t>
            </w:r>
          </w:p>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(from approved list)</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r>
        <w:tc>
          <w:tcPr>
            <w:tcBorders>
              <w:top w:color="231f20" w:space="0" w:sz="4" w:val="single"/>
              <w:left w:color="231f20" w:space="0" w:sz="4" w:val="single"/>
              <w:bottom w:color="231f20" w:space="0" w:sz="4" w:val="single"/>
              <w:right w:color="231f20" w:space="0" w:sz="4" w:val="single"/>
            </w:tcBorders>
            <w:tcMar>
              <w:left w:w="0.0" w:type="dxa"/>
              <w:right w:w="0.0" w:type="dxa"/>
            </w:tcMar>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SLP 304 – Intro to Measurement of Hearing</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Mar>
              <w:left w:w="0.0" w:type="dxa"/>
              <w:right w:w="0.0" w:type="dxa"/>
            </w:tcMar>
          </w:tcPr>
          <w:p w:rsidR="00000000" w:rsidDel="00000000" w:rsidP="00000000" w:rsidRDefault="00000000" w:rsidRPr="00000000">
            <w:pPr>
              <w:pBdr/>
              <w:spacing w:after="0" w:line="202"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 </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Mar>
              <w:left w:w="0.0" w:type="dxa"/>
              <w:right w:w="0.0" w:type="dxa"/>
            </w:tcMar>
          </w:tcPr>
          <w:p w:rsidR="00000000" w:rsidDel="00000000" w:rsidP="00000000" w:rsidRDefault="00000000" w:rsidRPr="00000000">
            <w:pPr>
              <w:pBdr/>
              <w:contextualSpacing w:val="0"/>
              <w:rPr/>
            </w:pPr>
            <w:r w:rsidDel="00000000" w:rsidR="00000000" w:rsidRPr="00000000">
              <w:rPr>
                <w:rtl w:val="0"/>
              </w:rPr>
            </w:r>
          </w:p>
        </w:tc>
      </w:tr>
      <w:tr>
        <w:trPr>
          <w:trHeight w:val="30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SPE 203 – Psych Development of Children &amp; Adol.</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spacing w:after="0" w:before="6" w:line="100" w:lineRule="auto"/>
        <w:contextualSpacing w:val="0"/>
        <w:rPr>
          <w:sz w:val="10"/>
          <w:szCs w:val="10"/>
        </w:rPr>
      </w:pPr>
      <w:r w:rsidDel="00000000" w:rsidR="00000000" w:rsidRPr="00000000">
        <w:rPr>
          <w:rtl w:val="0"/>
        </w:rPr>
      </w:r>
    </w:p>
    <w:p w:rsidR="00000000" w:rsidDel="00000000" w:rsidP="00000000" w:rsidRDefault="00000000" w:rsidRPr="00000000">
      <w:pPr>
        <w:pBdr/>
        <w:spacing w:after="0" w:line="240" w:lineRule="auto"/>
        <w:ind w:left="3041" w:right="3282" w:firstLine="0"/>
        <w:contextualSpacing w:val="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color w:val="3953a4"/>
          <w:sz w:val="24"/>
          <w:szCs w:val="24"/>
          <w:rtl w:val="0"/>
        </w:rPr>
        <w:t xml:space="preserve">L</w:t>
      </w:r>
      <w:r w:rsidDel="00000000" w:rsidR="00000000" w:rsidRPr="00000000">
        <w:rPr>
          <w:rFonts w:ascii="Times New Roman" w:cs="Times New Roman" w:eastAsia="Times New Roman" w:hAnsi="Times New Roman"/>
          <w:b w:val="1"/>
          <w:color w:val="3953a4"/>
          <w:sz w:val="19"/>
          <w:szCs w:val="19"/>
          <w:rtl w:val="0"/>
        </w:rPr>
        <w:t xml:space="preserve">IBERAL </w:t>
      </w:r>
      <w:r w:rsidDel="00000000" w:rsidR="00000000" w:rsidRPr="00000000">
        <w:rPr>
          <w:rFonts w:ascii="Times New Roman" w:cs="Times New Roman" w:eastAsia="Times New Roman" w:hAnsi="Times New Roman"/>
          <w:b w:val="1"/>
          <w:color w:val="3953a4"/>
          <w:sz w:val="24"/>
          <w:szCs w:val="24"/>
          <w:rtl w:val="0"/>
        </w:rPr>
        <w:t xml:space="preserve">L</w:t>
      </w:r>
      <w:r w:rsidDel="00000000" w:rsidR="00000000" w:rsidRPr="00000000">
        <w:rPr>
          <w:rFonts w:ascii="Times New Roman" w:cs="Times New Roman" w:eastAsia="Times New Roman" w:hAnsi="Times New Roman"/>
          <w:b w:val="1"/>
          <w:color w:val="3953a4"/>
          <w:sz w:val="19"/>
          <w:szCs w:val="19"/>
          <w:rtl w:val="0"/>
        </w:rPr>
        <w:t xml:space="preserve">EARNING </w:t>
      </w:r>
      <w:r w:rsidDel="00000000" w:rsidR="00000000" w:rsidRPr="00000000">
        <w:rPr>
          <w:rFonts w:ascii="Times New Roman" w:cs="Times New Roman" w:eastAsia="Times New Roman" w:hAnsi="Times New Roman"/>
          <w:b w:val="1"/>
          <w:color w:val="3953a4"/>
          <w:sz w:val="24"/>
          <w:szCs w:val="24"/>
          <w:rtl w:val="0"/>
        </w:rPr>
        <w:t xml:space="preserve">R</w:t>
      </w:r>
      <w:r w:rsidDel="00000000" w:rsidR="00000000" w:rsidRPr="00000000">
        <w:rPr>
          <w:rFonts w:ascii="Times New Roman" w:cs="Times New Roman" w:eastAsia="Times New Roman" w:hAnsi="Times New Roman"/>
          <w:b w:val="1"/>
          <w:color w:val="3953a4"/>
          <w:sz w:val="19"/>
          <w:szCs w:val="19"/>
          <w:rtl w:val="0"/>
        </w:rPr>
        <w:t xml:space="preserve">EQUIREMENTS</w:t>
      </w:r>
      <w:r w:rsidDel="00000000" w:rsidR="00000000" w:rsidRPr="00000000">
        <w:rPr>
          <w:rtl w:val="0"/>
        </w:rPr>
      </w:r>
    </w:p>
    <w:p w:rsidR="00000000" w:rsidDel="00000000" w:rsidP="00000000" w:rsidRDefault="00000000" w:rsidRPr="00000000">
      <w:pPr>
        <w:pBdr/>
        <w:spacing w:after="0" w:line="234" w:lineRule="auto"/>
        <w:ind w:left="3353" w:right="3593" w:firstLine="0"/>
        <w:contextualSpacing w:val="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231f20"/>
          <w:sz w:val="21"/>
          <w:szCs w:val="21"/>
          <w:vertAlign w:val="baseline"/>
          <w:rtl w:val="0"/>
        </w:rPr>
        <w:t xml:space="preserve">Fulfill via Option 4 – Second Major</w:t>
      </w:r>
      <w:r w:rsidDel="00000000" w:rsidR="00000000" w:rsidRPr="00000000">
        <w:rPr>
          <w:rtl w:val="0"/>
        </w:rPr>
      </w:r>
    </w:p>
    <w:p w:rsidR="00000000" w:rsidDel="00000000" w:rsidP="00000000" w:rsidRDefault="00000000" w:rsidRPr="00000000">
      <w:pPr>
        <w:pBdr/>
        <w:spacing w:after="0" w:before="3" w:line="120" w:lineRule="auto"/>
        <w:contextualSpacing w:val="0"/>
        <w:rPr>
          <w:sz w:val="12"/>
          <w:szCs w:val="12"/>
        </w:rPr>
      </w:pPr>
      <w:r w:rsidDel="00000000" w:rsidR="00000000" w:rsidRPr="00000000">
        <w:rPr>
          <w:rtl w:val="0"/>
        </w:rPr>
      </w:r>
    </w:p>
    <w:tbl>
      <w:tblPr>
        <w:tblStyle w:val="Table2"/>
        <w:bidiVisual w:val="0"/>
        <w:tblW w:w="9830.0" w:type="dxa"/>
        <w:jc w:val="left"/>
        <w:tblInd w:w="101.0" w:type="dxa"/>
        <w:tblLayout w:type="fixed"/>
        <w:tblLook w:val="0000"/>
      </w:tblPr>
      <w:tblGrid>
        <w:gridCol w:w="3169"/>
        <w:gridCol w:w="3060"/>
        <w:gridCol w:w="3601"/>
        <w:tblGridChange w:id="0">
          <w:tblGrid>
            <w:gridCol w:w="3169"/>
            <w:gridCol w:w="3060"/>
            <w:gridCol w:w="3601"/>
          </w:tblGrid>
        </w:tblGridChange>
      </w:tblGrid>
      <w:tr>
        <w:trPr>
          <w:trHeight w:val="620" w:hRule="atLeast"/>
        </w:trPr>
        <w:tc>
          <w:tcPr>
            <w:tcBorders>
              <w:top w:color="231f20" w:space="0" w:sz="4" w:val="single"/>
              <w:left w:color="231f20" w:space="0" w:sz="4" w:val="single"/>
              <w:bottom w:color="231f20" w:space="0" w:sz="4" w:val="single"/>
              <w:right w:color="231f20" w:space="0" w:sz="4" w:val="single"/>
            </w:tcBorders>
            <w:shd w:fill="e7e8e8"/>
          </w:tcPr>
          <w:p w:rsidR="00000000" w:rsidDel="00000000" w:rsidP="00000000" w:rsidRDefault="00000000" w:rsidRPr="00000000">
            <w:pPr>
              <w:pBdr/>
              <w:spacing w:after="0" w:line="206" w:lineRule="auto"/>
              <w:ind w:left="808" w:right="793"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Arts &amp; Humanities</w:t>
            </w:r>
            <w:r w:rsidDel="00000000" w:rsidR="00000000" w:rsidRPr="00000000">
              <w:rPr>
                <w:rtl w:val="0"/>
              </w:rPr>
            </w:r>
          </w:p>
          <w:p w:rsidR="00000000" w:rsidDel="00000000" w:rsidP="00000000" w:rsidRDefault="00000000" w:rsidRPr="00000000">
            <w:pPr>
              <w:pBdr/>
              <w:spacing w:after="0" w:line="202" w:lineRule="auto"/>
              <w:ind w:left="1182" w:right="1161"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(1 course)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shd w:fill="e7e8e8"/>
          </w:tcPr>
          <w:p w:rsidR="00000000" w:rsidDel="00000000" w:rsidP="00000000" w:rsidRDefault="00000000" w:rsidRPr="00000000">
            <w:pPr>
              <w:pBdr/>
              <w:spacing w:after="0" w:line="206" w:lineRule="auto"/>
              <w:ind w:left="539" w:right="527"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Social Science &amp; History</w:t>
            </w:r>
            <w:r w:rsidDel="00000000" w:rsidR="00000000" w:rsidRPr="00000000">
              <w:rPr>
                <w:rtl w:val="0"/>
              </w:rPr>
            </w:r>
          </w:p>
          <w:p w:rsidR="00000000" w:rsidDel="00000000" w:rsidP="00000000" w:rsidRDefault="00000000" w:rsidRPr="00000000">
            <w:pPr>
              <w:pBdr/>
              <w:spacing w:after="0" w:line="202" w:lineRule="auto"/>
              <w:ind w:left="1127" w:right="1108"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(1 course)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shd w:fill="e7e8e8"/>
          </w:tcPr>
          <w:p w:rsidR="00000000" w:rsidDel="00000000" w:rsidP="00000000" w:rsidRDefault="00000000" w:rsidRPr="00000000">
            <w:pPr>
              <w:pBdr/>
              <w:spacing w:after="0" w:before="1" w:line="237" w:lineRule="auto"/>
              <w:ind w:left="108" w:right="94" w:firstLine="0"/>
              <w:contextualSpacing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Natural Sciences &amp; Quantitative Reasoning </w:t>
            </w:r>
            <w:r w:rsidDel="00000000" w:rsidR="00000000" w:rsidRPr="00000000">
              <w:rPr>
                <w:rFonts w:ascii="Times New Roman" w:cs="Times New Roman" w:eastAsia="Times New Roman" w:hAnsi="Times New Roman"/>
                <w:color w:val="231f20"/>
                <w:sz w:val="18"/>
                <w:szCs w:val="18"/>
                <w:rtl w:val="0"/>
              </w:rPr>
              <w:t xml:space="preserve">(Requirements fulfilled by major correlate courses above)</w:t>
            </w:r>
            <w:r w:rsidDel="00000000" w:rsidR="00000000" w:rsidRPr="00000000">
              <w:rPr>
                <w:rtl w:val="0"/>
              </w:rPr>
            </w:r>
          </w:p>
        </w:tc>
      </w:tr>
      <w:tr>
        <w:trPr>
          <w:trHeight w:val="8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RAL 225 – Children’s Literature</w:t>
            </w:r>
            <w:r w:rsidDel="00000000" w:rsidR="00000000" w:rsidRPr="00000000">
              <w:rPr>
                <w:rtl w:val="0"/>
              </w:rPr>
            </w:r>
          </w:p>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color w:val="231f20"/>
                <w:sz w:val="18"/>
                <w:szCs w:val="18"/>
                <w:u w:val="single"/>
              </w:rPr>
            </w:pPr>
            <w:r w:rsidDel="00000000" w:rsidR="00000000" w:rsidRPr="00000000">
              <w:rPr>
                <w:rFonts w:ascii="Times New Roman" w:cs="Times New Roman" w:eastAsia="Times New Roman" w:hAnsi="Times New Roman"/>
                <w:color w:val="231f20"/>
                <w:sz w:val="18"/>
                <w:szCs w:val="18"/>
                <w:u w:val="single"/>
                <w:rtl w:val="0"/>
              </w:rPr>
              <w:t xml:space="preserve">Or</w:t>
            </w:r>
          </w:p>
          <w:p w:rsidR="00000000" w:rsidDel="00000000" w:rsidP="00000000" w:rsidRDefault="00000000" w:rsidRPr="00000000">
            <w:pPr>
              <w:pBdr/>
              <w:spacing w:after="0" w:line="206"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u w:val="single"/>
                <w:rtl w:val="0"/>
              </w:rPr>
              <w:t xml:space="preserve">ECE 102 or </w:t>
            </w:r>
            <w:r w:rsidDel="00000000" w:rsidR="00000000" w:rsidRPr="00000000">
              <w:rPr>
                <w:rtl w:val="0"/>
              </w:rPr>
            </w:r>
          </w:p>
          <w:p w:rsidR="00000000" w:rsidDel="00000000" w:rsidP="00000000" w:rsidRDefault="00000000" w:rsidRPr="00000000">
            <w:pPr>
              <w:pBdr/>
              <w:spacing w:after="0" w:before="2" w:line="240"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WGS 225 – Gender in Children’s</w:t>
            </w:r>
            <w:r w:rsidDel="00000000" w:rsidR="00000000" w:rsidRPr="00000000">
              <w:rPr>
                <w:rtl w:val="0"/>
              </w:rPr>
            </w:r>
          </w:p>
          <w:p w:rsidR="00000000" w:rsidDel="00000000" w:rsidP="00000000" w:rsidRDefault="00000000" w:rsidRPr="00000000">
            <w:pPr>
              <w:pBdr/>
              <w:spacing w:after="0" w:line="206" w:lineRule="auto"/>
              <w:ind w:left="28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Literature </w:t>
            </w:r>
            <w:r w:rsidDel="00000000" w:rsidR="00000000" w:rsidRPr="00000000">
              <w:rPr>
                <w:rFonts w:ascii="Times New Roman" w:cs="Times New Roman" w:eastAsia="Times New Roman" w:hAnsi="Times New Roman"/>
                <w:i w:val="1"/>
                <w:color w:val="231f20"/>
                <w:sz w:val="18"/>
                <w:szCs w:val="18"/>
                <w:rtl w:val="0"/>
              </w:rPr>
              <w:t xml:space="preserve">(included in major courses)</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before="1" w:line="208" w:lineRule="auto"/>
              <w:ind w:left="265" w:right="322"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SPE 203– Psych Development of Children &amp; Adol</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Natural Science course</w:t>
            </w: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Visual or Performing Arts - Art, Music i,, or  Theater (it is highly recommended that students choose a course with a global and/or  perspective)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US history course at the 100 or 300 level (it highly recommended that students choose a course with a global and/or gender perspective)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Quantitative Reasoning</w:t>
            </w:r>
            <w:r w:rsidDel="00000000" w:rsidR="00000000" w:rsidRPr="00000000">
              <w:rPr>
                <w:rtl w:val="0"/>
              </w:rPr>
            </w:r>
          </w:p>
        </w:tc>
      </w:tr>
    </w:tbl>
    <w:p w:rsidR="00000000" w:rsidDel="00000000" w:rsidP="00000000" w:rsidRDefault="00000000" w:rsidRPr="00000000">
      <w:pPr>
        <w:pBdr/>
        <w:spacing w:after="0" w:before="6" w:line="100" w:lineRule="auto"/>
        <w:contextualSpacing w:val="0"/>
        <w:rPr>
          <w:sz w:val="10"/>
          <w:szCs w:val="10"/>
        </w:rPr>
      </w:pPr>
      <w:r w:rsidDel="00000000" w:rsidR="00000000" w:rsidRPr="00000000">
        <w:rPr>
          <w:rtl w:val="0"/>
        </w:rPr>
      </w:r>
    </w:p>
    <w:p w:rsidR="00000000" w:rsidDel="00000000" w:rsidP="00000000" w:rsidRDefault="00000000" w:rsidRPr="00000000">
      <w:pPr>
        <w:pBdr/>
        <w:spacing w:after="0" w:line="240" w:lineRule="auto"/>
        <w:ind w:left="2136" w:right="-20" w:firstLine="0"/>
        <w:contextualSpacing w:val="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b w:val="1"/>
          <w:color w:val="3953a4"/>
          <w:sz w:val="24"/>
          <w:szCs w:val="24"/>
          <w:rtl w:val="0"/>
        </w:rPr>
        <w:t xml:space="preserve">C</w:t>
      </w:r>
      <w:r w:rsidDel="00000000" w:rsidR="00000000" w:rsidRPr="00000000">
        <w:rPr>
          <w:rFonts w:ascii="Times New Roman" w:cs="Times New Roman" w:eastAsia="Times New Roman" w:hAnsi="Times New Roman"/>
          <w:b w:val="1"/>
          <w:color w:val="3953a4"/>
          <w:sz w:val="19"/>
          <w:szCs w:val="19"/>
          <w:rtl w:val="0"/>
        </w:rPr>
        <w:t xml:space="preserve">IVIC </w:t>
      </w:r>
      <w:r w:rsidDel="00000000" w:rsidR="00000000" w:rsidRPr="00000000">
        <w:rPr>
          <w:rFonts w:ascii="Times New Roman" w:cs="Times New Roman" w:eastAsia="Times New Roman" w:hAnsi="Times New Roman"/>
          <w:b w:val="1"/>
          <w:color w:val="3953a4"/>
          <w:sz w:val="24"/>
          <w:szCs w:val="24"/>
          <w:rtl w:val="0"/>
        </w:rPr>
        <w:t xml:space="preserve">R</w:t>
      </w:r>
      <w:r w:rsidDel="00000000" w:rsidR="00000000" w:rsidRPr="00000000">
        <w:rPr>
          <w:rFonts w:ascii="Times New Roman" w:cs="Times New Roman" w:eastAsia="Times New Roman" w:hAnsi="Times New Roman"/>
          <w:b w:val="1"/>
          <w:color w:val="3953a4"/>
          <w:sz w:val="19"/>
          <w:szCs w:val="19"/>
          <w:rtl w:val="0"/>
        </w:rPr>
        <w:t xml:space="preserve">ESPONSIBILITIES</w:t>
      </w:r>
      <w:r w:rsidDel="00000000" w:rsidR="00000000" w:rsidRPr="00000000">
        <w:rPr>
          <w:rFonts w:ascii="Times New Roman" w:cs="Times New Roman" w:eastAsia="Times New Roman" w:hAnsi="Times New Roman"/>
          <w:b w:val="1"/>
          <w:color w:val="3953a4"/>
          <w:sz w:val="24"/>
          <w:szCs w:val="24"/>
          <w:rtl w:val="0"/>
        </w:rPr>
        <w:t xml:space="preserve">, P</w:t>
      </w:r>
      <w:r w:rsidDel="00000000" w:rsidR="00000000" w:rsidRPr="00000000">
        <w:rPr>
          <w:rFonts w:ascii="Times New Roman" w:cs="Times New Roman" w:eastAsia="Times New Roman" w:hAnsi="Times New Roman"/>
          <w:b w:val="1"/>
          <w:color w:val="3953a4"/>
          <w:sz w:val="19"/>
          <w:szCs w:val="19"/>
          <w:rtl w:val="0"/>
        </w:rPr>
        <w:t xml:space="preserve">ROFICIENCIES </w:t>
      </w:r>
      <w:r w:rsidDel="00000000" w:rsidR="00000000" w:rsidRPr="00000000">
        <w:rPr>
          <w:rFonts w:ascii="Times New Roman" w:cs="Times New Roman" w:eastAsia="Times New Roman" w:hAnsi="Times New Roman"/>
          <w:b w:val="1"/>
          <w:color w:val="3953a4"/>
          <w:sz w:val="24"/>
          <w:szCs w:val="24"/>
          <w:rtl w:val="0"/>
        </w:rPr>
        <w:t xml:space="preserve">&amp; E</w:t>
      </w:r>
      <w:r w:rsidDel="00000000" w:rsidR="00000000" w:rsidRPr="00000000">
        <w:rPr>
          <w:rFonts w:ascii="Times New Roman" w:cs="Times New Roman" w:eastAsia="Times New Roman" w:hAnsi="Times New Roman"/>
          <w:b w:val="1"/>
          <w:color w:val="3953a4"/>
          <w:sz w:val="19"/>
          <w:szCs w:val="19"/>
          <w:rtl w:val="0"/>
        </w:rPr>
        <w:t xml:space="preserve">LECTIVES</w:t>
      </w:r>
      <w:r w:rsidDel="00000000" w:rsidR="00000000" w:rsidRPr="00000000">
        <w:rPr>
          <w:rtl w:val="0"/>
        </w:rPr>
      </w:r>
    </w:p>
    <w:p w:rsidR="00000000" w:rsidDel="00000000" w:rsidP="00000000" w:rsidRDefault="00000000" w:rsidRPr="00000000">
      <w:pPr>
        <w:pBdr/>
        <w:spacing w:after="0" w:line="234" w:lineRule="auto"/>
        <w:ind w:left="2200" w:right="-20" w:firstLine="0"/>
        <w:contextualSpacing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231f20"/>
          <w:sz w:val="21"/>
          <w:szCs w:val="21"/>
          <w:vertAlign w:val="baseline"/>
          <w:rtl w:val="0"/>
        </w:rPr>
        <w:t xml:space="preserve">Fulfill via completion of course requirements in three categories</w:t>
      </w:r>
      <w:r w:rsidDel="00000000" w:rsidR="00000000" w:rsidRPr="00000000">
        <w:rPr>
          <w:rtl w:val="0"/>
        </w:rPr>
      </w:r>
    </w:p>
    <w:p w:rsidR="00000000" w:rsidDel="00000000" w:rsidP="00000000" w:rsidRDefault="00000000" w:rsidRPr="00000000">
      <w:pPr>
        <w:pBdr/>
        <w:spacing w:after="0" w:before="4" w:line="120" w:lineRule="auto"/>
        <w:contextualSpacing w:val="0"/>
        <w:rPr>
          <w:sz w:val="12"/>
          <w:szCs w:val="12"/>
        </w:rPr>
      </w:pPr>
      <w:r w:rsidDel="00000000" w:rsidR="00000000" w:rsidRPr="00000000">
        <w:rPr>
          <w:rtl w:val="0"/>
        </w:rPr>
      </w:r>
    </w:p>
    <w:tbl>
      <w:tblPr>
        <w:tblStyle w:val="Table3"/>
        <w:bidiVisual w:val="0"/>
        <w:tblW w:w="9830.0" w:type="dxa"/>
        <w:jc w:val="left"/>
        <w:tblInd w:w="101.0" w:type="dxa"/>
        <w:tblLayout w:type="fixed"/>
        <w:tblLook w:val="0000"/>
      </w:tblPr>
      <w:tblGrid>
        <w:gridCol w:w="3080"/>
        <w:gridCol w:w="4589"/>
        <w:gridCol w:w="2161"/>
        <w:tblGridChange w:id="0">
          <w:tblGrid>
            <w:gridCol w:w="3080"/>
            <w:gridCol w:w="4589"/>
            <w:gridCol w:w="2161"/>
          </w:tblGrid>
        </w:tblGridChange>
      </w:tblGrid>
      <w:tr>
        <w:trPr>
          <w:trHeight w:val="200" w:hRule="atLeast"/>
        </w:trPr>
        <w:tc>
          <w:tcPr>
            <w:tcBorders>
              <w:top w:color="231f20" w:space="0" w:sz="4" w:val="single"/>
              <w:left w:color="231f20" w:space="0" w:sz="4" w:val="single"/>
              <w:bottom w:color="231f20" w:space="0" w:sz="4" w:val="single"/>
              <w:right w:color="231f20" w:space="0" w:sz="4" w:val="single"/>
            </w:tcBorders>
            <w:shd w:fill="e7e8e8"/>
          </w:tcPr>
          <w:p w:rsidR="00000000" w:rsidDel="00000000" w:rsidP="00000000" w:rsidRDefault="00000000" w:rsidRPr="00000000">
            <w:pPr>
              <w:pBdr/>
              <w:spacing w:after="0" w:line="205" w:lineRule="auto"/>
              <w:ind w:left="71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Civic Responsibilities</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shd w:fill="e7e8e8"/>
          </w:tcPr>
          <w:p w:rsidR="00000000" w:rsidDel="00000000" w:rsidP="00000000" w:rsidRDefault="00000000" w:rsidRPr="00000000">
            <w:pPr>
              <w:pBdr/>
              <w:spacing w:after="0" w:line="205" w:lineRule="auto"/>
              <w:ind w:left="1043"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Intellectual &amp; Scholarly Growth</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shd w:fill="e7e8e8"/>
          </w:tcPr>
          <w:p w:rsidR="00000000" w:rsidDel="00000000" w:rsidP="00000000" w:rsidRDefault="00000000" w:rsidRPr="00000000">
            <w:pPr>
              <w:pBdr/>
              <w:spacing w:after="0" w:line="205" w:lineRule="auto"/>
              <w:ind w:left="607" w:right="-20" w:firstLine="0"/>
              <w:contextualSpacing w:val="0"/>
              <w:rPr>
                <w:rFonts w:ascii="Times New Roman" w:cs="Times New Roman" w:eastAsia="Times New Roman" w:hAnsi="Times New Roman"/>
                <w:sz w:val="18"/>
                <w:szCs w:val="18"/>
              </w:rPr>
            </w:pPr>
            <w:bookmarkStart w:colFirst="0" w:colLast="0" w:name="_gjdgxs" w:id="0"/>
            <w:bookmarkEnd w:id="0"/>
            <w:r w:rsidDel="00000000" w:rsidR="00000000" w:rsidRPr="00000000">
              <w:rPr>
                <w:rFonts w:ascii="Times New Roman" w:cs="Times New Roman" w:eastAsia="Times New Roman" w:hAnsi="Times New Roman"/>
                <w:b w:val="1"/>
                <w:color w:val="231f20"/>
                <w:sz w:val="18"/>
                <w:szCs w:val="18"/>
                <w:rtl w:val="0"/>
              </w:rPr>
              <w:t xml:space="preserve">Electives </w:t>
            </w:r>
            <w:r w:rsidDel="00000000" w:rsidR="00000000" w:rsidRPr="00000000">
              <w:rPr>
                <w:rFonts w:ascii="Times New Roman" w:cs="Times New Roman" w:eastAsia="Times New Roman" w:hAnsi="Times New Roman"/>
                <w:color w:val="231f20"/>
                <w:sz w:val="18"/>
                <w:szCs w:val="18"/>
                <w:rtl w:val="0"/>
              </w:rPr>
              <w:t xml:space="preserve">(0)</w:t>
            </w: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IDS 103 – Community Engaged</w:t>
            </w:r>
            <w:r w:rsidDel="00000000" w:rsidR="00000000" w:rsidRPr="00000000">
              <w:rPr>
                <w:rtl w:val="0"/>
              </w:rPr>
            </w:r>
          </w:p>
          <w:p w:rsidR="00000000" w:rsidDel="00000000" w:rsidP="00000000" w:rsidRDefault="00000000" w:rsidRPr="00000000">
            <w:pPr>
              <w:pBdr/>
              <w:spacing w:after="0" w:line="206" w:lineRule="auto"/>
              <w:ind w:left="28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Learning  (</w:t>
            </w:r>
            <w:r w:rsidDel="00000000" w:rsidR="00000000" w:rsidRPr="00000000">
              <w:rPr>
                <w:rFonts w:ascii="Times New Roman" w:cs="Times New Roman" w:eastAsia="Times New Roman" w:hAnsi="Times New Roman"/>
                <w:i w:val="1"/>
                <w:color w:val="231f20"/>
                <w:sz w:val="18"/>
                <w:szCs w:val="18"/>
                <w:rtl w:val="0"/>
              </w:rPr>
              <w:t xml:space="preserve">zero-credit requirement</w:t>
            </w:r>
            <w:r w:rsidDel="00000000" w:rsidR="00000000" w:rsidRPr="00000000">
              <w:rPr>
                <w:rFonts w:ascii="Times New Roman" w:cs="Times New Roman" w:eastAsia="Times New Roman" w:hAnsi="Times New Roman"/>
                <w:color w:val="231f20"/>
                <w:sz w:val="18"/>
                <w:szCs w:val="18"/>
                <w:rtl w:val="0"/>
              </w:rPr>
              <w:t xml:space="preserv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IDS 102 – Information Literacy online tutorial (</w:t>
            </w:r>
            <w:r w:rsidDel="00000000" w:rsidR="00000000" w:rsidRPr="00000000">
              <w:rPr>
                <w:rFonts w:ascii="Times New Roman" w:cs="Times New Roman" w:eastAsia="Times New Roman" w:hAnsi="Times New Roman"/>
                <w:i w:val="1"/>
                <w:color w:val="231f20"/>
                <w:sz w:val="18"/>
                <w:szCs w:val="18"/>
                <w:rtl w:val="0"/>
              </w:rPr>
              <w:t xml:space="preserve">zero-credit</w:t>
            </w:r>
            <w:r w:rsidDel="00000000" w:rsidR="00000000" w:rsidRPr="00000000">
              <w:rPr>
                <w:rtl w:val="0"/>
              </w:rPr>
            </w:r>
          </w:p>
          <w:p w:rsidR="00000000" w:rsidDel="00000000" w:rsidP="00000000" w:rsidRDefault="00000000" w:rsidRPr="00000000">
            <w:pPr>
              <w:pBdr/>
              <w:spacing w:after="0" w:line="206" w:lineRule="auto"/>
              <w:ind w:left="28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231f20"/>
                <w:sz w:val="18"/>
                <w:szCs w:val="18"/>
                <w:rtl w:val="0"/>
              </w:rPr>
              <w:t xml:space="preserve">requirement</w:t>
            </w:r>
            <w:r w:rsidDel="00000000" w:rsidR="00000000" w:rsidRPr="00000000">
              <w:rPr>
                <w:rFonts w:ascii="Times New Roman" w:cs="Times New Roman" w:eastAsia="Times New Roman" w:hAnsi="Times New Roman"/>
                <w:color w:val="231f20"/>
                <w:sz w:val="18"/>
                <w:szCs w:val="18"/>
                <w:rtl w:val="0"/>
              </w:rPr>
              <w:t xml:space="preserv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28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182" w:lineRule="auto"/>
              <w:ind w:left="100" w:right="-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color w:val="231f20"/>
                <w:sz w:val="16"/>
                <w:szCs w:val="16"/>
                <w:rtl w:val="0"/>
              </w:rPr>
              <w:t xml:space="preserve">(WRI 101 or 102 may be required freshmen year)</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36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before="26" w:line="170" w:lineRule="auto"/>
              <w:ind w:left="282" w:right="117" w:hanging="180"/>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color w:val="231f20"/>
                <w:sz w:val="18"/>
                <w:szCs w:val="18"/>
                <w:rtl w:val="0"/>
              </w:rPr>
              <w:t xml:space="preserve">Concepts </w:t>
            </w:r>
            <w:r w:rsidDel="00000000" w:rsidR="00000000" w:rsidRPr="00000000">
              <w:rPr>
                <w:rFonts w:ascii="Times New Roman" w:cs="Times New Roman" w:eastAsia="Times New Roman" w:hAnsi="Times New Roman"/>
                <w:color w:val="231f20"/>
                <w:sz w:val="18"/>
                <w:szCs w:val="18"/>
                <w:rtl w:val="0"/>
              </w:rPr>
              <w:t xml:space="preserve">– </w:t>
            </w:r>
            <w:r w:rsidDel="00000000" w:rsidR="00000000" w:rsidRPr="00000000">
              <w:rPr>
                <w:rFonts w:ascii="Times New Roman" w:cs="Times New Roman" w:eastAsia="Times New Roman" w:hAnsi="Times New Roman"/>
                <w:i w:val="1"/>
                <w:color w:val="231f20"/>
                <w:sz w:val="14"/>
                <w:szCs w:val="14"/>
                <w:rtl w:val="0"/>
              </w:rPr>
              <w:t xml:space="preserve">(fulfilled through liberal learning, other courses, or sustained experience)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before="10" w:line="150" w:lineRule="auto"/>
              <w:contextualSpacing w:val="0"/>
              <w:rPr>
                <w:sz w:val="15"/>
                <w:szCs w:val="15"/>
              </w:rPr>
            </w:pPr>
            <w:r w:rsidDel="00000000" w:rsidR="00000000" w:rsidRPr="00000000">
              <w:rPr>
                <w:rtl w:val="0"/>
              </w:rPr>
            </w:r>
          </w:p>
          <w:p w:rsidR="00000000" w:rsidDel="00000000" w:rsidP="00000000" w:rsidRDefault="00000000" w:rsidRPr="00000000">
            <w:pPr>
              <w:pBdr/>
              <w:spacing w:after="0" w:line="205" w:lineRule="auto"/>
              <w:ind w:left="1245"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color w:val="231f20"/>
                <w:sz w:val="18"/>
                <w:szCs w:val="18"/>
                <w:rtl w:val="0"/>
              </w:rPr>
              <w:t xml:space="preserve">Writing Intensive Courses:</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33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Gender--VPA or US History</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FSP First Seminar course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33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Global Perspective--VPA or US History</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Mid-level course</w:t>
            </w:r>
            <w:r w:rsidDel="00000000" w:rsidR="00000000" w:rsidRPr="00000000">
              <w:rPr>
                <w:rtl w:val="0"/>
              </w:rPr>
            </w:r>
          </w:p>
          <w:p w:rsidR="00000000" w:rsidDel="00000000" w:rsidP="00000000" w:rsidRDefault="00000000" w:rsidRPr="00000000">
            <w:pPr>
              <w:pBdr/>
              <w:spacing w:after="0" w:line="206" w:lineRule="auto"/>
              <w:ind w:left="28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231f20"/>
                <w:sz w:val="18"/>
                <w:szCs w:val="18"/>
                <w:rtl w:val="0"/>
              </w:rPr>
              <w:t xml:space="preserve">(fulfilled by DHH 303)</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4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33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Race &amp; Ethnicity--fulfilled upon completion of the BS</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Capstone course</w:t>
            </w:r>
            <w:r w:rsidDel="00000000" w:rsidR="00000000" w:rsidRPr="00000000">
              <w:rPr>
                <w:rtl w:val="0"/>
              </w:rPr>
            </w:r>
          </w:p>
          <w:p w:rsidR="00000000" w:rsidDel="00000000" w:rsidP="00000000" w:rsidRDefault="00000000" w:rsidRPr="00000000">
            <w:pPr>
              <w:pBdr/>
              <w:spacing w:after="0" w:line="206" w:lineRule="auto"/>
              <w:ind w:left="282"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color w:val="231f20"/>
                <w:sz w:val="18"/>
                <w:szCs w:val="18"/>
                <w:rtl w:val="0"/>
              </w:rPr>
              <w:t xml:space="preserve">( fulfilled by BIO 498)</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40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before="10" w:line="190" w:lineRule="auto"/>
              <w:ind w:left="280" w:right="217" w:hanging="18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color w:val="231f20"/>
                <w:sz w:val="18"/>
                <w:szCs w:val="18"/>
                <w:rtl w:val="0"/>
              </w:rPr>
              <w:t xml:space="preserve">Second Language </w:t>
            </w:r>
            <w:r w:rsidDel="00000000" w:rsidR="00000000" w:rsidRPr="00000000">
              <w:rPr>
                <w:rFonts w:ascii="Times New Roman" w:cs="Times New Roman" w:eastAsia="Times New Roman" w:hAnsi="Times New Roman"/>
                <w:color w:val="231f20"/>
                <w:sz w:val="18"/>
                <w:szCs w:val="18"/>
                <w:rtl w:val="0"/>
              </w:rPr>
              <w:t xml:space="preserve">(0-3 courses) </w:t>
            </w:r>
            <w:r w:rsidDel="00000000" w:rsidR="00000000" w:rsidRPr="00000000">
              <w:rPr>
                <w:rFonts w:ascii="Times New Roman" w:cs="Times New Roman" w:eastAsia="Times New Roman" w:hAnsi="Times New Roman"/>
                <w:color w:val="231f20"/>
                <w:sz w:val="16"/>
                <w:szCs w:val="16"/>
                <w:rtl w:val="0"/>
              </w:rPr>
              <w:t xml:space="preserve">Demonstrated proficiency at the low-intermediate level (</w:t>
            </w:r>
            <w:r w:rsidDel="00000000" w:rsidR="00000000" w:rsidRPr="00000000">
              <w:rPr>
                <w:rFonts w:ascii="Times New Roman" w:cs="Times New Roman" w:eastAsia="Times New Roman" w:hAnsi="Times New Roman"/>
                <w:i w:val="1"/>
                <w:color w:val="231f20"/>
                <w:sz w:val="16"/>
                <w:szCs w:val="16"/>
                <w:rtl w:val="0"/>
              </w:rPr>
              <w:t xml:space="preserve">based on placement</w:t>
            </w:r>
            <w:r w:rsidDel="00000000" w:rsidR="00000000" w:rsidRPr="00000000">
              <w:rPr>
                <w:rFonts w:ascii="Times New Roman" w:cs="Times New Roman" w:eastAsia="Times New Roman" w:hAnsi="Times New Roman"/>
                <w:color w:val="231f20"/>
                <w:sz w:val="16"/>
                <w:szCs w:val="16"/>
                <w:rtl w:val="0"/>
              </w:rPr>
              <w:t xml:space="preserve">)</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r>
        <w:trPr>
          <w:trHeight w:val="620" w:hRule="atLeast"/>
        </w:trPr>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spacing w:after="0" w:line="201" w:lineRule="auto"/>
              <w:ind w:left="10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ASL 101 – American Sign Language I, ASL 102 –</w:t>
            </w:r>
            <w:r w:rsidDel="00000000" w:rsidR="00000000" w:rsidRPr="00000000">
              <w:rPr>
                <w:rtl w:val="0"/>
              </w:rPr>
            </w:r>
          </w:p>
          <w:p w:rsidR="00000000" w:rsidDel="00000000" w:rsidP="00000000" w:rsidRDefault="00000000" w:rsidRPr="00000000">
            <w:pPr>
              <w:pBdr/>
              <w:spacing w:after="0" w:before="2" w:line="240" w:lineRule="auto"/>
              <w:ind w:left="28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American Sign Language II, ASL 103 – American Sign</w:t>
            </w:r>
            <w:r w:rsidDel="00000000" w:rsidR="00000000" w:rsidRPr="00000000">
              <w:rPr>
                <w:rtl w:val="0"/>
              </w:rPr>
            </w:r>
          </w:p>
          <w:p w:rsidR="00000000" w:rsidDel="00000000" w:rsidP="00000000" w:rsidRDefault="00000000" w:rsidRPr="00000000">
            <w:pPr>
              <w:pBdr/>
              <w:spacing w:after="0" w:line="206" w:lineRule="auto"/>
              <w:ind w:left="280" w:right="-20" w:firstLine="0"/>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231f20"/>
                <w:sz w:val="18"/>
                <w:szCs w:val="18"/>
                <w:rtl w:val="0"/>
              </w:rPr>
              <w:t xml:space="preserve">Language III</w:t>
            </w:r>
            <w:r w:rsidDel="00000000" w:rsidR="00000000" w:rsidRPr="00000000">
              <w:rPr>
                <w:rtl w:val="0"/>
              </w:rPr>
            </w:r>
          </w:p>
        </w:tc>
        <w:tc>
          <w:tcPr>
            <w:tcBorders>
              <w:top w:color="231f20" w:space="0" w:sz="4" w:val="single"/>
              <w:left w:color="231f20" w:space="0" w:sz="4" w:val="single"/>
              <w:bottom w:color="231f20" w:space="0" w:sz="4" w:val="single"/>
              <w:right w:color="231f20" w:space="0" w:sz="4" w:val="single"/>
            </w:tcBorders>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spacing w:after="0" w:line="217" w:lineRule="auto"/>
        <w:ind w:left="753" w:right="-20" w:firstLine="0"/>
        <w:contextualSpacing w:val="0"/>
        <w:rPr>
          <w:rFonts w:ascii="Times New Roman" w:cs="Times New Roman" w:eastAsia="Times New Roman" w:hAnsi="Times New Roman"/>
          <w:color w:val="231f20"/>
          <w:sz w:val="16"/>
          <w:szCs w:val="16"/>
        </w:rPr>
      </w:pPr>
      <w:r w:rsidDel="00000000" w:rsidR="00000000" w:rsidRPr="00000000">
        <w:rPr>
          <w:rFonts w:ascii="Times New Roman" w:cs="Times New Roman" w:eastAsia="Times New Roman" w:hAnsi="Times New Roman"/>
          <w:color w:val="231f20"/>
          <w:sz w:val="20"/>
          <w:szCs w:val="20"/>
          <w:rtl w:val="0"/>
        </w:rPr>
        <w:t xml:space="preserve">Note: Full list of graduation requirements can be found in the College bulletin and department website.</w:t>
      </w:r>
      <w:r w:rsidDel="00000000" w:rsidR="00000000" w:rsidRPr="00000000">
        <w:rPr>
          <w:rtl w:val="0"/>
        </w:rPr>
      </w:r>
    </w:p>
    <w:p w:rsidR="00000000" w:rsidDel="00000000" w:rsidP="00000000" w:rsidRDefault="00000000" w:rsidRPr="00000000">
      <w:pPr>
        <w:pBdr/>
        <w:spacing w:after="0" w:line="217" w:lineRule="auto"/>
        <w:ind w:left="753" w:right="-20" w:firstLine="0"/>
        <w:contextualSpacing w:val="0"/>
        <w:rPr>
          <w:rFonts w:ascii="Times New Roman" w:cs="Times New Roman" w:eastAsia="Times New Roman" w:hAnsi="Times New Roman"/>
          <w:color w:val="231f20"/>
          <w:sz w:val="16"/>
          <w:szCs w:val="16"/>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or three semesters of 5 courses will be needed if students are to complete the BS degree in 4 years.  Two or three courses in summer school would alleviate the need for 5 courses/semester.</w:t>
      </w:r>
    </w:p>
    <w:p w:rsidR="00000000" w:rsidDel="00000000" w:rsidP="00000000" w:rsidRDefault="00000000" w:rsidRPr="00000000">
      <w:pPr>
        <w:pBdr/>
        <w:spacing w:after="0" w:line="217" w:lineRule="auto"/>
        <w:ind w:left="753" w:right="-20" w:firstLine="0"/>
        <w:contextualSpacing w:val="0"/>
        <w:rPr>
          <w:rFonts w:ascii="Times New Roman" w:cs="Times New Roman" w:eastAsia="Times New Roman" w:hAnsi="Times New Roman"/>
          <w:color w:val="231f20"/>
          <w:sz w:val="16"/>
          <w:szCs w:val="16"/>
        </w:rPr>
      </w:pPr>
      <w:r w:rsidDel="00000000" w:rsidR="00000000" w:rsidRPr="00000000">
        <w:rPr>
          <w:rtl w:val="0"/>
        </w:rPr>
      </w:r>
    </w:p>
    <w:p w:rsidR="00000000" w:rsidDel="00000000" w:rsidP="00000000" w:rsidRDefault="00000000" w:rsidRPr="00000000">
      <w:pPr>
        <w:pBdr/>
        <w:spacing w:after="0" w:line="217" w:lineRule="auto"/>
        <w:ind w:left="753" w:right="-20" w:firstLine="0"/>
        <w:contextualSpacing w:val="0"/>
        <w:rPr>
          <w:rFonts w:ascii="Times New Roman" w:cs="Times New Roman" w:eastAsia="Times New Roman" w:hAnsi="Times New Roman"/>
          <w:color w:val="231f20"/>
          <w:sz w:val="16"/>
          <w:szCs w:val="16"/>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the start of the fall term of senior year, students will be formally admitted to the teacher-preparation part of the program if they have met the following criteria:</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minimum of 22 earned course units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grade of B- or higher in RAL 220 and satisfactory or higher disposition ratings</w:t>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minimum GPA of 3.0 or higher</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Passing scores (as set by the State of New Jersey) on the SAT, ACT, or Praxis Core.  Students are required to provide evidence of passing scores before receiving formal admission into the program.</w:t>
      </w:r>
      <w:r w:rsidDel="00000000" w:rsidR="00000000" w:rsidRPr="00000000">
        <w:rPr>
          <w:rtl w:val="0"/>
        </w:rPr>
      </w:r>
    </w:p>
    <w:p w:rsidR="00000000" w:rsidDel="00000000" w:rsidP="00000000" w:rsidRDefault="00000000" w:rsidRPr="00000000">
      <w:pPr>
        <w:pBdr/>
        <w:spacing w:after="0" w:line="217" w:lineRule="auto"/>
        <w:ind w:left="753" w:right="-20" w:firstLine="0"/>
        <w:contextualSpacing w:val="0"/>
        <w:rPr>
          <w:rFonts w:ascii="Times New Roman" w:cs="Times New Roman" w:eastAsia="Times New Roman" w:hAnsi="Times New Roman"/>
          <w:color w:val="231f20"/>
          <w:sz w:val="16"/>
          <w:szCs w:val="16"/>
        </w:rPr>
      </w:pPr>
      <w:r w:rsidDel="00000000" w:rsidR="00000000" w:rsidRPr="00000000">
        <w:rPr>
          <w:rtl w:val="0"/>
        </w:rPr>
      </w:r>
    </w:p>
    <w:p w:rsidR="00000000" w:rsidDel="00000000" w:rsidP="00000000" w:rsidRDefault="00000000" w:rsidRPr="00000000">
      <w:pPr>
        <w:pBdr/>
        <w:spacing w:after="0" w:line="217" w:lineRule="auto"/>
        <w:ind w:left="753" w:right="-20" w:firstLine="0"/>
        <w:contextualSpacing w:val="0"/>
        <w:rPr>
          <w:rFonts w:ascii="Times New Roman" w:cs="Times New Roman" w:eastAsia="Times New Roman" w:hAnsi="Times New Roman"/>
          <w:color w:val="231f20"/>
          <w:sz w:val="16"/>
          <w:szCs w:val="16"/>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4"/>
        <w:bidiVisual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gridSpan w:val="2"/>
            <w:tcBorders>
              <w:bottom w:color="000000" w:space="0" w:sz="4" w:val="single"/>
            </w:tcBorders>
            <w:shd w:fill="f2f2f2"/>
          </w:tcPr>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Upon completion of all requirements for the Deaf Education Major and for the Second Major as well as for the College's Liberal Learning Program, the BS Degree without Certification is awarded.  Students must have a minimum of 32 </w:t>
            </w:r>
            <w:r w:rsidDel="00000000" w:rsidR="00000000" w:rsidRPr="00000000">
              <w:rPr>
                <w:rFonts w:ascii="Times New Roman" w:cs="Times New Roman" w:eastAsia="Times New Roman" w:hAnsi="Times New Roman"/>
                <w:b w:val="1"/>
                <w:i w:val="1"/>
                <w:sz w:val="20"/>
                <w:szCs w:val="20"/>
                <w:rtl w:val="0"/>
              </w:rPr>
              <w:t xml:space="preserve">undergraduate</w:t>
            </w:r>
            <w:r w:rsidDel="00000000" w:rsidR="00000000" w:rsidRPr="00000000">
              <w:rPr>
                <w:rFonts w:ascii="Times New Roman" w:cs="Times New Roman" w:eastAsia="Times New Roman" w:hAnsi="Times New Roman"/>
                <w:b w:val="1"/>
                <w:sz w:val="20"/>
                <w:szCs w:val="20"/>
                <w:rtl w:val="0"/>
              </w:rPr>
              <w:t xml:space="preserve"> units for the BS degree.</w:t>
            </w:r>
            <w:r w:rsidDel="00000000" w:rsidR="00000000" w:rsidRPr="00000000">
              <w:rPr>
                <w:rtl w:val="0"/>
              </w:rPr>
            </w:r>
          </w:p>
        </w:tc>
      </w:tr>
      <w:tr>
        <w:trPr>
          <w:trHeight w:val="2900" w:hRule="atLeast"/>
        </w:trPr>
        <w:tc>
          <w:tcPr>
            <w:gridSpan w:val="2"/>
            <w:tcBorders>
              <w:bottom w:color="000000" w:space="0" w:sz="4" w:val="single"/>
            </w:tcBorders>
          </w:tcPr>
          <w:p w:rsidR="00000000" w:rsidDel="00000000" w:rsidP="00000000" w:rsidRDefault="00000000" w:rsidRPr="00000000">
            <w:pPr>
              <w:pBdr/>
              <w:spacing w:after="0" w:line="240" w:lineRule="auto"/>
              <w:ind w:left="36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have a GPA of 3.0 or higher and have met all program requirements continue into the graduate portion of the program.  Students must complete the online graduate application during the final undergraduate semester.  The following additional courses are required for awarding of the MAT Degree.</w:t>
            </w:r>
          </w:p>
          <w:p w:rsidR="00000000" w:rsidDel="00000000" w:rsidP="00000000" w:rsidRDefault="00000000" w:rsidRPr="00000000">
            <w:pPr>
              <w:pBdr/>
              <w:spacing w:after="0" w:line="240" w:lineRule="auto"/>
              <w:ind w:left="360" w:firstLine="0"/>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Courses taken during the senior  year:</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**✧DFHH 522 Assistive Listening Devices &amp; Auditory Management (It is highly recommended that students complete SLP 304 prior to taking this course.)</w:t>
            </w:r>
          </w:p>
          <w:p w:rsidR="00000000" w:rsidDel="00000000" w:rsidP="00000000" w:rsidRDefault="00000000" w:rsidRPr="00000000">
            <w:pPr>
              <w:numPr>
                <w:ilvl w:val="0"/>
                <w:numId w:val="1"/>
              </w:numPr>
              <w:pBdr/>
              <w:spacing w:after="0" w:line="240" w:lineRule="auto"/>
              <w:ind w:left="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**§DFHH 530 Speech Development in Deaf or Hard of Hearing Individuals</w:t>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Courses taken in the summer and year following award of the BS degree:</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EDUC 513 Collaboration &amp; Partnerships</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RDLG 579 Content Area Literacy or another approved reading/language arts course</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EDUC 614 Creating &amp; Sustaining Classroom Communities </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An approved course in Teaching English as a Second Language  </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ELEM 520 Multicultural Social Studies</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DFHH 690 Deaf Education Internship</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DFHH 597 Seminar (taken in the same semester as ELEM 695)</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ELEM 695 Elementary Education Internship (for 6 sh)</w:t>
            </w:r>
          </w:p>
          <w:p w:rsidR="00000000" w:rsidDel="00000000" w:rsidP="00000000" w:rsidRDefault="00000000" w:rsidRPr="00000000">
            <w:pPr>
              <w:numPr>
                <w:ilvl w:val="0"/>
                <w:numId w:val="1"/>
              </w:numPr>
              <w:pBdr/>
              <w:spacing w:after="0" w:line="240" w:lineRule="auto"/>
              <w:ind w:left="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DFHH 700 Comprehensive Exam (taken in the same semester as DFHH 690)</w:t>
            </w:r>
          </w:p>
        </w:tc>
      </w:tr>
    </w:tbl>
    <w:p w:rsidR="00000000" w:rsidDel="00000000" w:rsidP="00000000" w:rsidRDefault="00000000" w:rsidRPr="00000000">
      <w:pPr>
        <w:pBdr/>
        <w:tabs>
          <w:tab w:val="center" w:pos="4320"/>
          <w:tab w:val="right" w:pos="8640"/>
        </w:tabs>
        <w:spacing w:after="0" w:line="240" w:lineRule="auto"/>
        <w:contextualSpacing w:val="0"/>
        <w:rPr>
          <w:rFonts w:ascii="Times New Roman" w:cs="Times New Roman" w:eastAsia="Times New Roman" w:hAnsi="Times New Roman"/>
        </w:rPr>
      </w:pP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Offered in Fall semesters only</w:t>
      </w:r>
    </w:p>
    <w:p w:rsidR="00000000" w:rsidDel="00000000" w:rsidP="00000000" w:rsidRDefault="00000000" w:rsidRPr="00000000">
      <w:pPr>
        <w:pBdr/>
        <w:tabs>
          <w:tab w:val="center" w:pos="4320"/>
          <w:tab w:val="right" w:pos="8640"/>
        </w:tabs>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§Offered in Spring semesters only</w:t>
      </w:r>
    </w:p>
    <w:p w:rsidR="00000000" w:rsidDel="00000000" w:rsidP="00000000" w:rsidRDefault="00000000" w:rsidRPr="00000000">
      <w:pPr>
        <w:pBd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**Graduate course which does NOT count toward the BS degree.  A GPA of 3.0 or higher is needed.</w:t>
      </w:r>
    </w:p>
    <w:p w:rsidR="00000000" w:rsidDel="00000000" w:rsidP="00000000" w:rsidRDefault="00000000" w:rsidRPr="00000000">
      <w:pPr>
        <w:pBdr/>
        <w:tabs>
          <w:tab w:val="center" w:pos="4320"/>
          <w:tab w:val="right" w:pos="8640"/>
        </w:tabs>
        <w:spacing w:after="0" w:line="240" w:lineRule="auto"/>
        <w:contextualSpacing w:val="0"/>
        <w:rPr>
          <w:rFonts w:ascii="Times New Roman" w:cs="Times New Roman" w:eastAsia="Times New Roman" w:hAnsi="Times New Roman"/>
          <w:color w:val="231f20"/>
          <w:sz w:val="16"/>
          <w:szCs w:val="16"/>
        </w:rPr>
      </w:pPr>
      <w:r w:rsidDel="00000000" w:rsidR="00000000" w:rsidRPr="00000000">
        <w:rPr>
          <w:rtl w:val="0"/>
        </w:rPr>
      </w:r>
    </w:p>
    <w:sectPr>
      <w:footerReference r:id="rId5" w:type="default"/>
      <w:pgSz w:h="15840" w:w="12240"/>
      <w:pgMar w:bottom="280" w:top="660" w:left="1220" w:right="9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Unicode MS"/>
  <w:font w:name="Aria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t xml:space="preserve">6/2017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